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6F" w:rsidRPr="00BB296F" w:rsidRDefault="00BB296F" w:rsidP="00BB296F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Gulim" w:hAnsi="Times New Roman" w:cs="Times New Roman"/>
          <w:b/>
          <w:bCs/>
          <w:iCs/>
          <w:sz w:val="24"/>
          <w:szCs w:val="24"/>
          <w:lang w:eastAsia="fr-FR"/>
        </w:rPr>
      </w:pPr>
      <w:r w:rsidRPr="00BB296F">
        <w:rPr>
          <w:rFonts w:ascii="Times New Roman" w:eastAsia="Gulim" w:hAnsi="Times New Roman" w:cs="Times New Roman"/>
          <w:b/>
          <w:bCs/>
          <w:iCs/>
          <w:sz w:val="24"/>
          <w:szCs w:val="24"/>
          <w:lang w:eastAsia="fr-FR"/>
        </w:rPr>
        <w:t>Annexe</w:t>
      </w:r>
      <w:r>
        <w:rPr>
          <w:rFonts w:ascii="Times New Roman" w:eastAsia="Gulim" w:hAnsi="Times New Roman" w:cs="Times New Roman"/>
          <w:b/>
          <w:bCs/>
          <w:iCs/>
          <w:sz w:val="24"/>
          <w:szCs w:val="24"/>
          <w:lang w:eastAsia="fr-FR"/>
        </w:rPr>
        <w:t xml:space="preserve"> numérique</w:t>
      </w:r>
      <w:r w:rsidRPr="00BB296F">
        <w:rPr>
          <w:rFonts w:ascii="Times New Roman" w:eastAsia="Gulim" w:hAnsi="Times New Roman" w:cs="Times New Roman"/>
          <w:b/>
          <w:bCs/>
          <w:iCs/>
          <w:sz w:val="24"/>
          <w:szCs w:val="24"/>
          <w:lang w:eastAsia="fr-FR"/>
        </w:rPr>
        <w:t xml:space="preserve"> 2.4.6 </w:t>
      </w: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quelques rapprochements significatifs limités à la tonalité Do, avec des tempéraments antérieurs à la date d’édition des tempéraments de </w:t>
      </w:r>
      <w:proofErr w:type="spellStart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, pour une DMV inférieure au seuil de 3,5.</w:t>
      </w: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footerReference w:type="even" r:id="rId7"/>
          <w:footerReference w:type="default" r:id="rId8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281"/>
        <w:gridCol w:w="709"/>
      </w:tblGrid>
      <w:tr w:rsidR="00BB296F" w:rsidRPr="00BB296F" w:rsidTr="00F6756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Schlick Arnold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1511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II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3,20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Ammerbach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</w:t>
            </w: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Interpretation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1)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1583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III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IV </w:t>
      </w: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Tempérament égal.</w:t>
      </w: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</w:t>
      </w:r>
    </w:p>
    <w:tbl>
      <w:tblPr>
        <w:tblW w:w="432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29"/>
      </w:tblGrid>
      <w:tr w:rsidR="00BB296F" w:rsidRPr="00BB296F" w:rsidTr="00F67563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2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29"/>
      </w:tblGrid>
      <w:tr w:rsidR="00BB296F" w:rsidRPr="00BB296F" w:rsidTr="00F67563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VII</w:t>
      </w: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3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VIII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15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IX </w:t>
      </w: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Aucuns tempéraments proches en Do.</w:t>
      </w: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</w:t>
      </w:r>
    </w:p>
    <w:tbl>
      <w:tblPr>
        <w:tblW w:w="4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708"/>
      </w:tblGrid>
      <w:tr w:rsidR="00BB296F" w:rsidRPr="00BB296F" w:rsidTr="00F67563">
        <w:trPr>
          <w:trHeight w:val="315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5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760"/>
        <w:gridCol w:w="729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2,67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VI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 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3,35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 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XII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3,05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XIII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3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XIV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XV</w:t>
      </w:r>
    </w:p>
    <w:tbl>
      <w:tblPr>
        <w:tblW w:w="4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708"/>
      </w:tblGrid>
      <w:tr w:rsidR="00BB296F" w:rsidRPr="00BB296F" w:rsidTr="00F67563">
        <w:trPr>
          <w:trHeight w:val="315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1,97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XVI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315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Schlick Arnold 1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1511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XVII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XVIII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15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2,67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33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 XIX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XX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35"/>
        <w:gridCol w:w="634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2,43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Mersenne 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1636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XXI</w:t>
      </w:r>
    </w:p>
    <w:p w:rsidR="00BB296F" w:rsidRPr="00BB296F" w:rsidRDefault="00BB296F" w:rsidP="00BB2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space="708"/>
          <w:titlePg/>
          <w:docGrid w:linePitch="360"/>
        </w:sectPr>
      </w:pPr>
    </w:p>
    <w:tbl>
      <w:tblPr>
        <w:tblW w:w="434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2722"/>
        <w:gridCol w:w="773"/>
      </w:tblGrid>
      <w:tr w:rsidR="00BB296F" w:rsidRPr="00BB296F" w:rsidTr="00F67563">
        <w:trPr>
          <w:trHeight w:val="256"/>
        </w:trPr>
        <w:tc>
          <w:tcPr>
            <w:tcW w:w="849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256"/>
        </w:trPr>
        <w:tc>
          <w:tcPr>
            <w:tcW w:w="849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269"/>
        </w:trPr>
        <w:tc>
          <w:tcPr>
            <w:tcW w:w="849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2,83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Schlick Arnold 1 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1511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sectPr w:rsidR="00BB296F" w:rsidRPr="00BB296F" w:rsidSect="00FE52CD">
          <w:type w:val="continuous"/>
          <w:pgSz w:w="11906" w:h="16838" w:code="9"/>
          <w:pgMar w:top="1276" w:right="1700" w:bottom="1418" w:left="1418" w:header="1418" w:footer="1418" w:gutter="0"/>
          <w:cols w:num="2" w:space="708"/>
          <w:titlePg/>
          <w:docGrid w:linePitch="360"/>
        </w:sect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XXII</w:t>
      </w:r>
    </w:p>
    <w:tbl>
      <w:tblPr>
        <w:tblW w:w="4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76"/>
        <w:gridCol w:w="993"/>
      </w:tblGrid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1,67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Vallotti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Francesco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1754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2,33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Werckmeister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III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1706</w:t>
            </w:r>
          </w:p>
        </w:tc>
      </w:tr>
      <w:tr w:rsidR="00BB296F" w:rsidRPr="00BB296F" w:rsidTr="00F67563">
        <w:trPr>
          <w:trHeight w:val="33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2,50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Schlick Arnold 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1511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00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3,33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Bendeler</w:t>
            </w:r>
            <w:proofErr w:type="spellEnd"/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1690</w:t>
            </w:r>
          </w:p>
        </w:tc>
      </w:tr>
      <w:tr w:rsidR="00BB296F" w:rsidRPr="00BB296F" w:rsidTr="00F67563">
        <w:trPr>
          <w:trHeight w:val="315"/>
        </w:trPr>
        <w:tc>
          <w:tcPr>
            <w:tcW w:w="861" w:type="dxa"/>
            <w:shd w:val="clear" w:color="000000" w:fill="B8CCE4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3,50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Schlick Arnold 1a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296F" w:rsidRPr="00BB296F" w:rsidRDefault="00BB296F" w:rsidP="00B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96F">
              <w:rPr>
                <w:rFonts w:ascii="Calibri" w:eastAsia="Times New Roman" w:hAnsi="Calibri" w:cs="Times New Roman"/>
                <w:color w:val="000000"/>
                <w:lang w:eastAsia="fr-FR"/>
              </w:rPr>
              <w:t>1511</w:t>
            </w:r>
          </w:p>
        </w:tc>
      </w:tr>
    </w:tbl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296F" w:rsidRPr="00BB296F" w:rsidRDefault="00BB296F" w:rsidP="00BB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Ces tempéraments signalés comme proches des vingt et une propositions de </w:t>
      </w:r>
      <w:proofErr w:type="spellStart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Neidhardt</w:t>
      </w:r>
      <w:proofErr w:type="spellEnd"/>
      <w:r w:rsidRPr="00BB2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footnoteReference w:id="1"/>
      </w:r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confirment si besoin était une recherche commune des théoriciens all</w:t>
      </w:r>
      <w:r w:rsidR="004055FB">
        <w:rPr>
          <w:rFonts w:ascii="Times New Roman" w:eastAsia="Times New Roman" w:hAnsi="Times New Roman" w:cs="Times New Roman"/>
          <w:sz w:val="24"/>
          <w:szCs w:val="24"/>
          <w:lang w:eastAsia="fr-FR"/>
        </w:rPr>
        <w:t>emands vers un modèle d’inégal.</w:t>
      </w:r>
      <w:bookmarkStart w:id="0" w:name="_GoBack"/>
      <w:bookmarkEnd w:id="0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Des théoriciens qui ont précédé, on trouve fréquemment les noms germains de Schlick (1511), </w:t>
      </w:r>
      <w:proofErr w:type="spellStart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Bendeler</w:t>
      </w:r>
      <w:proofErr w:type="spellEnd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(1690), </w:t>
      </w:r>
      <w:proofErr w:type="spellStart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Werckmeister</w:t>
      </w:r>
      <w:proofErr w:type="spellEnd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(1706). Mersenne (1636), auteur français et </w:t>
      </w:r>
      <w:proofErr w:type="spellStart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>Vallotti</w:t>
      </w:r>
      <w:proofErr w:type="spellEnd"/>
      <w:r w:rsidRPr="00BB29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(1754) auteur italien, sont aussi très présents.  </w:t>
      </w:r>
    </w:p>
    <w:p w:rsidR="001E6CC5" w:rsidRDefault="001E6CC5"/>
    <w:sectPr w:rsidR="001E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3E" w:rsidRDefault="002F2D3E" w:rsidP="00BB296F">
      <w:pPr>
        <w:spacing w:after="0" w:line="240" w:lineRule="auto"/>
      </w:pPr>
      <w:r>
        <w:separator/>
      </w:r>
    </w:p>
  </w:endnote>
  <w:endnote w:type="continuationSeparator" w:id="0">
    <w:p w:rsidR="002F2D3E" w:rsidRDefault="002F2D3E" w:rsidP="00BB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6F" w:rsidRDefault="00BB296F" w:rsidP="00FE52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B296F" w:rsidRDefault="00BB29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6F" w:rsidRDefault="00BB296F" w:rsidP="00FE52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55F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B296F" w:rsidRDefault="00BB29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3E" w:rsidRDefault="002F2D3E" w:rsidP="00BB296F">
      <w:pPr>
        <w:spacing w:after="0" w:line="240" w:lineRule="auto"/>
      </w:pPr>
      <w:r>
        <w:separator/>
      </w:r>
    </w:p>
  </w:footnote>
  <w:footnote w:type="continuationSeparator" w:id="0">
    <w:p w:rsidR="002F2D3E" w:rsidRDefault="002F2D3E" w:rsidP="00BB296F">
      <w:pPr>
        <w:spacing w:after="0" w:line="240" w:lineRule="auto"/>
      </w:pPr>
      <w:r>
        <w:continuationSeparator/>
      </w:r>
    </w:p>
  </w:footnote>
  <w:footnote w:id="1">
    <w:p w:rsidR="00BB296F" w:rsidRPr="004A4554" w:rsidRDefault="00BB296F" w:rsidP="00BB296F">
      <w:pPr>
        <w:pStyle w:val="Notedebasdepage"/>
        <w:rPr>
          <w:sz w:val="24"/>
          <w:szCs w:val="24"/>
        </w:rPr>
      </w:pPr>
      <w:r w:rsidRPr="004A4554">
        <w:rPr>
          <w:rStyle w:val="Appelnotedebasdep"/>
          <w:sz w:val="24"/>
          <w:szCs w:val="24"/>
        </w:rPr>
        <w:footnoteRef/>
      </w:r>
      <w:r w:rsidRPr="004A4554">
        <w:rPr>
          <w:sz w:val="24"/>
          <w:szCs w:val="24"/>
        </w:rPr>
        <w:t xml:space="preserve"> Le IV qui donne le chiffrage du tempérament égal n’est pas a considéré comme une création de </w:t>
      </w:r>
      <w:proofErr w:type="spellStart"/>
      <w:r w:rsidRPr="004A4554">
        <w:rPr>
          <w:sz w:val="24"/>
          <w:szCs w:val="24"/>
        </w:rPr>
        <w:t>Neidhardt</w:t>
      </w:r>
      <w:proofErr w:type="spellEnd"/>
      <w:r w:rsidRPr="004A4554">
        <w:rPr>
          <w:sz w:val="24"/>
          <w:szCs w:val="24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6"/>
    <w:rsid w:val="001165CA"/>
    <w:rsid w:val="001E6CC5"/>
    <w:rsid w:val="002F2D3E"/>
    <w:rsid w:val="004055FB"/>
    <w:rsid w:val="00912216"/>
    <w:rsid w:val="00B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95FE8-C1C7-4157-8164-C62F2490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BB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296F"/>
  </w:style>
  <w:style w:type="character" w:styleId="Numrodepage">
    <w:name w:val="page number"/>
    <w:basedOn w:val="Policepardfaut"/>
    <w:rsid w:val="00BB296F"/>
  </w:style>
  <w:style w:type="paragraph" w:styleId="Notedebasdepage">
    <w:name w:val="footnote text"/>
    <w:basedOn w:val="Normal"/>
    <w:link w:val="NotedebasdepageCar"/>
    <w:rsid w:val="00BB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B296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qFormat/>
    <w:rsid w:val="00BB2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8480-5DA1-4194-A9FF-1B1D9C9C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Calvet</dc:creator>
  <cp:keywords/>
  <dc:description/>
  <cp:lastModifiedBy>André Calvet</cp:lastModifiedBy>
  <cp:revision>3</cp:revision>
  <dcterms:created xsi:type="dcterms:W3CDTF">2018-01-07T16:56:00Z</dcterms:created>
  <dcterms:modified xsi:type="dcterms:W3CDTF">2018-01-13T19:54:00Z</dcterms:modified>
</cp:coreProperties>
</file>